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AA" w:rsidRPr="00B20041" w:rsidRDefault="006849AA" w:rsidP="006849A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Муниципальное бюджетное общеобразовательное учреждение</w:t>
      </w:r>
    </w:p>
    <w:p w:rsidR="006849AA" w:rsidRPr="00B20041" w:rsidRDefault="006849AA" w:rsidP="006849AA">
      <w:pPr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«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учебно-воспитательный комплекс» муниципального образования 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Красноперекопский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район Республики Крым</w:t>
      </w:r>
    </w:p>
    <w:p w:rsidR="006849AA" w:rsidRPr="00B20041" w:rsidRDefault="006849AA" w:rsidP="006849AA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6849AA" w:rsidRPr="00B20041" w:rsidRDefault="006849AA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  РАССМОТРЕНО И ПРИНЯТО                                            УТВЕРЖДАЮ</w:t>
      </w:r>
    </w:p>
    <w:p w:rsidR="006849AA" w:rsidRPr="00B20041" w:rsidRDefault="006849AA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</w:t>
      </w:r>
      <w:r w:rsidR="00730B24">
        <w:rPr>
          <w:rFonts w:ascii="Times New Roman" w:eastAsia="Times New Roman" w:hAnsi="Times New Roman" w:cs="Times New Roman"/>
          <w:bCs/>
          <w:lang w:val="ru-RU"/>
        </w:rPr>
        <w:t>на собрании трудового коллектива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</w:t>
      </w:r>
      <w:r w:rsidR="00730B2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B20041">
        <w:rPr>
          <w:rFonts w:ascii="Times New Roman" w:eastAsia="Times New Roman" w:hAnsi="Times New Roman" w:cs="Times New Roman"/>
          <w:bCs/>
          <w:lang w:val="ru-RU"/>
        </w:rPr>
        <w:t>Директор МБОУ</w:t>
      </w:r>
    </w:p>
    <w:p w:rsidR="006849AA" w:rsidRDefault="006849AA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</w:t>
      </w:r>
      <w:bookmarkStart w:id="0" w:name="_GoBack"/>
      <w:bookmarkEnd w:id="0"/>
      <w:r w:rsidR="00730B24">
        <w:rPr>
          <w:rFonts w:ascii="Times New Roman" w:eastAsia="Times New Roman" w:hAnsi="Times New Roman" w:cs="Times New Roman"/>
          <w:bCs/>
          <w:lang w:val="ru-RU"/>
        </w:rPr>
        <w:t xml:space="preserve"> протокол №7 от 29.12.2021 года 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</w:t>
      </w:r>
      <w:proofErr w:type="spellStart"/>
      <w:r w:rsidRPr="00B20041">
        <w:rPr>
          <w:rFonts w:ascii="Times New Roman" w:eastAsia="Times New Roman" w:hAnsi="Times New Roman" w:cs="Times New Roman"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УВК</w:t>
      </w:r>
    </w:p>
    <w:p w:rsidR="006849AA" w:rsidRPr="00B20041" w:rsidRDefault="00730B24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</w:t>
      </w:r>
      <w:r w:rsidR="006849AA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val="ru-RU"/>
        </w:rPr>
        <w:t xml:space="preserve">                       </w:t>
      </w:r>
      <w:r w:rsidR="006849AA">
        <w:rPr>
          <w:rFonts w:ascii="Times New Roman" w:eastAsia="Times New Roman" w:hAnsi="Times New Roman" w:cs="Times New Roman"/>
          <w:bCs/>
          <w:lang w:val="ru-RU"/>
        </w:rPr>
        <w:t xml:space="preserve"> __________ С.Н.Черныш</w:t>
      </w:r>
    </w:p>
    <w:p w:rsidR="006849AA" w:rsidRPr="00730B24" w:rsidRDefault="006849AA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                                                                 </w:t>
      </w:r>
      <w:r w:rsidR="00730B24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 </w:t>
      </w:r>
      <w:r w:rsidR="00730B24" w:rsidRPr="00730B24">
        <w:rPr>
          <w:rFonts w:ascii="Times New Roman" w:eastAsia="Times New Roman" w:hAnsi="Times New Roman" w:cs="Times New Roman"/>
          <w:bCs/>
          <w:lang w:val="ru-RU"/>
        </w:rPr>
        <w:t>Приказ от 30.12.2021 г. № 54</w:t>
      </w:r>
      <w:r w:rsidRPr="00730B24">
        <w:rPr>
          <w:rFonts w:ascii="Times New Roman" w:eastAsia="Times New Roman" w:hAnsi="Times New Roman" w:cs="Times New Roman"/>
          <w:bCs/>
          <w:lang w:val="ru-RU"/>
        </w:rPr>
        <w:t xml:space="preserve">9 </w:t>
      </w:r>
    </w:p>
    <w:p w:rsidR="006849AA" w:rsidRPr="00730B24" w:rsidRDefault="006849AA" w:rsidP="006849AA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730B24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         </w:t>
      </w:r>
      <w:r w:rsidR="00730B24" w:rsidRPr="00730B24">
        <w:rPr>
          <w:rFonts w:ascii="Times New Roman" w:eastAsia="Times New Roman" w:hAnsi="Times New Roman" w:cs="Times New Roman"/>
          <w:bCs/>
          <w:lang w:val="ru-RU"/>
        </w:rPr>
        <w:t xml:space="preserve">                    </w:t>
      </w:r>
      <w:r w:rsidR="00730B2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730B24" w:rsidRPr="00730B24">
        <w:rPr>
          <w:rFonts w:ascii="Times New Roman" w:eastAsia="Times New Roman" w:hAnsi="Times New Roman" w:cs="Times New Roman"/>
          <w:bCs/>
          <w:lang w:val="ru-RU"/>
        </w:rPr>
        <w:t xml:space="preserve">  Р.н. № 194</w:t>
      </w:r>
    </w:p>
    <w:p w:rsidR="00AA6BBF" w:rsidRPr="006849AA" w:rsidRDefault="00AA6B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49AA" w:rsidRDefault="006849AA" w:rsidP="006849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6849AA" w:rsidRDefault="00730B24" w:rsidP="006849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предварительного</w:t>
      </w:r>
      <w:proofErr w:type="gramEnd"/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849AA" w:rsidRDefault="00730B24" w:rsidP="006849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="006849AA"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849AA" w:rsidRDefault="006849AA" w:rsidP="006849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AA6BBF" w:rsidRPr="006849AA" w:rsidRDefault="006849AA" w:rsidP="006849AA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комплекс»</w:t>
      </w:r>
      <w:r w:rsidRPr="00B20041">
        <w:rPr>
          <w:lang w:val="ru-RU"/>
        </w:rPr>
        <w:br/>
      </w:r>
    </w:p>
    <w:p w:rsidR="00AA6BBF" w:rsidRPr="006849AA" w:rsidRDefault="00730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A6BBF" w:rsidRPr="006849AA" w:rsidRDefault="00730B24" w:rsidP="006849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212, 213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214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твертой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213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поручаемой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динамическое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вредностей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продолжению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заключительном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соискате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вначале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213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02.07.1992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3185-1,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28.04.1993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377,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23.09.2002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695,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3-5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разд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ФМБА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09.06.2018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121).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психиатрическому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849AA">
        <w:rPr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лицензию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6849AA">
        <w:rPr>
          <w:lang w:val="ru-RU"/>
        </w:rPr>
        <w:t xml:space="preserve"> 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 «</w:t>
      </w:r>
      <w:proofErr w:type="spellStart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комплекс»</w:t>
      </w:r>
      <w:r w:rsidR="006849AA">
        <w:rPr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AA6BBF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осмотров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Частота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типами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занятые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разработанными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6BBF" w:rsidRPr="006849AA" w:rsidRDefault="00730B24" w:rsidP="006849A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штатному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асписанию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6BBF" w:rsidRPr="006849AA" w:rsidRDefault="00730B24" w:rsidP="006849A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фамилия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осмотра муниципальное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бюджетное общеобразовательное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849AA"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 w:rsid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комплекс»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вручает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направляемому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заполняется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6BBF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ОКВЭД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ктический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структурно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занято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ржденным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контингентом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страхового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полиса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инициалов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дневный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получен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поименного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согласовывается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лендарным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6BBF" w:rsidRDefault="00730B24" w:rsidP="006849A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6BBF" w:rsidRPr="006849AA" w:rsidRDefault="00730B24" w:rsidP="006849A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проводившей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</w:p>
    <w:p w:rsidR="00AA6BBF" w:rsidRPr="006849AA" w:rsidRDefault="00730B24" w:rsidP="006849A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Pr="006849AA" w:rsidRDefault="00730B24" w:rsidP="006849A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полис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проходящего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6BBF" w:rsidRPr="006849AA" w:rsidRDefault="00730B24" w:rsidP="006849A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амбулаторного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больного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6BBF" w:rsidRDefault="00730B24" w:rsidP="006849A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оформлялся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окончании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руки</w:t>
      </w:r>
      <w:r>
        <w:rPr>
          <w:rFonts w:hAnsi="Times New Roman" w:cs="Times New Roman"/>
          <w:color w:val="000000"/>
          <w:sz w:val="24"/>
          <w:szCs w:val="24"/>
        </w:rPr>
        <w:t>.)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завершенным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диспансерных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карте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показаний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наблюде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лечению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занятые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акторами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разовым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многократным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превышением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допустимого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ПДУ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имевшие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диагнозе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стойкими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последствиями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профпатологии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психиатром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наркологом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подоз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озрения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профпатологии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эксперт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извещение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диагноза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2.21.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профпатологии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имеющую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2.22.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обобщает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изацией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профпатологии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ечения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AA6BBF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предварительных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осмотров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2.13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проходящего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завершенным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врачами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поступаю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щему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завершившему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карте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амбулаторного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больного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AA6BBF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выявлении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противопоказаний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противопоказаниями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пройден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уклоняется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76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35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Пленума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Верховного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2004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2).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Издав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контролиро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получит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дисциплинарн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правилу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поскольку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3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76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нуждается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легкий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proofErr w:type="gram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анить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нуждается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етырех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постоянном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77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AA6BBF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отказе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медосмотра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пройден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уклоняется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76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35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Пленума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Верховного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2004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2).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Таким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A6BBF" w:rsidRPr="006849AA" w:rsidRDefault="00730B24" w:rsidP="006849A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объяснительная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сотруд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листок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выданный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оформленная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неявке</w:t>
      </w:r>
      <w:r w:rsidRPr="006849AA">
        <w:rPr>
          <w:lang w:val="ru-RU"/>
        </w:rPr>
        <w:br/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Pr="006849AA" w:rsidRDefault="00730B24" w:rsidP="006849A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составленного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6BBF" w:rsidRDefault="00730B24" w:rsidP="006849A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докладная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Унифицированного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бланка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произвольной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рме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указывают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формулировку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«до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явившихся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достоверно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отстраняет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явившихся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 76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отразить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зарплату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начисляйте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Основание»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перечислив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законность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BBF" w:rsidRPr="006849AA" w:rsidRDefault="00730B24" w:rsidP="006849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посредственно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самом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6849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A6BBF" w:rsidRPr="006849AA" w:rsidSect="006849AA">
      <w:pgSz w:w="11907" w:h="1683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63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04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90B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531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2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849AA"/>
    <w:rsid w:val="00730B24"/>
    <w:rsid w:val="00AA6BBF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Валентина</cp:lastModifiedBy>
  <cp:revision>2</cp:revision>
  <dcterms:created xsi:type="dcterms:W3CDTF">2011-11-02T04:15:00Z</dcterms:created>
  <dcterms:modified xsi:type="dcterms:W3CDTF">2022-01-24T09:31:00Z</dcterms:modified>
</cp:coreProperties>
</file>